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0" w:name="Par1"/>
      <w:bookmarkEnd w:id="0"/>
      <w:r>
        <w:t>Зарегистрировано в Минюсте России 6 декабря 2013 г. N 30550</w:t>
      </w:r>
    </w:p>
    <w:p w:rsidR="00B355FE" w:rsidRDefault="00B35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_GoBack"/>
      <w:r>
        <w:rPr>
          <w:b/>
          <w:bCs/>
        </w:rPr>
        <w:t>ПРИКАЗ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18 октября 2013 г. N 544н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ПРОФЕССИОНАЛЬНОГО СТАНДАРТА</w:t>
      </w:r>
      <w:bookmarkEnd w:id="1"/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"ПЕДАГОГ (ПЕДАГОГИЧЕСКАЯ ДЕЯТЕЛЬНОСТЬ В СФЕРЕ ДОШКОЛЬНОГО,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НАЧАЛЬНОГО ОБЩЕГО, ОСНОВНОГО ОБЩЕГО, СРЕДНЕГО ОБЩЕГО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ОБРАЗОВАНИЯ) (ВОСПИТАТЕЛЬ, УЧИТЕЛЬ)"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(с изм., внесенными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Минтруда России от 25.12.2014 N 1115н)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КонсультантПлюс: примечание.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t xml:space="preserve"> новой редакции Правил.</w:t>
      </w:r>
    </w:p>
    <w:p w:rsidR="00B355FE" w:rsidRDefault="00B35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прилагаемый профессиональный </w:t>
      </w:r>
      <w:hyperlink w:anchor="Par46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B355FE" w:rsidRDefault="00B35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КонсультантПлюс: примечание.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Пункт 2 применяется с 1 января 2017 года (</w:t>
      </w:r>
      <w:hyperlink r:id="rId9" w:history="1">
        <w:r>
          <w:rPr>
            <w:color w:val="0000FF"/>
          </w:rPr>
          <w:t>Приказ</w:t>
        </w:r>
      </w:hyperlink>
      <w:r>
        <w:t xml:space="preserve"> Минтруда России от 25.12.2014 N 1115н).</w:t>
      </w:r>
    </w:p>
    <w:p w:rsidR="00B355FE" w:rsidRDefault="00B35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Установить, что профессиональный </w:t>
      </w:r>
      <w:hyperlink w:anchor="Par46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Министр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М.А.ТОПИЛИН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" w:name="Par36"/>
      <w:bookmarkEnd w:id="2"/>
      <w:r>
        <w:t>Утвержден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труда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 социальной защиты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октября 2013 г. N 544н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355FE" w:rsidRDefault="00B35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КонсультантПлюс: примечание.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Профессиональный стандарт </w:t>
      </w:r>
      <w:hyperlink r:id="rId10" w:history="1">
        <w:r>
          <w:rPr>
            <w:color w:val="0000FF"/>
          </w:rPr>
          <w:t>применяется</w:t>
        </w:r>
      </w:hyperlink>
      <w:r>
        <w:t xml:space="preserve">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B355FE" w:rsidRDefault="00B35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3" w:name="Par46"/>
      <w:bookmarkEnd w:id="3"/>
      <w:r>
        <w:rPr>
          <w:b/>
          <w:bCs/>
        </w:rPr>
        <w:t>ПРОФЕССИОНАЛЬНЫЙ СТАНДАРТ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ПЕДАГОГ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(ПЕДАГОГИЧЕСКАЯ ДЕЯТЕЛЬНОСТЬ В ДОШКОЛЬНОМ, НАЧАЛЬНОМ ОБЩЕМ,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ОСНОВНОМ ОБЩЕМ, СРЕДНЕМ ОБЩЕМ ОБРАЗОВАНИИ)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(ВОСПИТАТЕЛЬ, УЧИТЕЛЬ)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355FE" w:rsidRDefault="00B355FE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B355FE" w:rsidRDefault="00B355FE">
      <w:pPr>
        <w:pStyle w:val="ConsPlusNonformat"/>
        <w:jc w:val="both"/>
      </w:pPr>
      <w:r>
        <w:t xml:space="preserve">                                                         │        1       │</w:t>
      </w:r>
    </w:p>
    <w:p w:rsidR="00B355FE" w:rsidRDefault="00B355FE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B355FE" w:rsidRDefault="00B355FE">
      <w:pPr>
        <w:pStyle w:val="ConsPlusNonformat"/>
        <w:jc w:val="both"/>
      </w:pPr>
      <w:r>
        <w:t xml:space="preserve">                                                           Регистрационный</w:t>
      </w:r>
    </w:p>
    <w:p w:rsidR="00B355FE" w:rsidRDefault="00B355FE">
      <w:pPr>
        <w:pStyle w:val="ConsPlusNonformat"/>
        <w:jc w:val="both"/>
      </w:pPr>
      <w:r>
        <w:t xml:space="preserve">                                                                номер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59"/>
      <w:bookmarkEnd w:id="4"/>
      <w:r>
        <w:t>I. Общие сведения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B355FE" w:rsidRDefault="00B355FE">
      <w:pPr>
        <w:pStyle w:val="ConsPlusNonformat"/>
        <w:jc w:val="both"/>
      </w:pPr>
      <w:r>
        <w:t>Дошкольное образование                                         │          │</w:t>
      </w:r>
    </w:p>
    <w:p w:rsidR="00B355FE" w:rsidRDefault="00B355FE">
      <w:pPr>
        <w:pStyle w:val="ConsPlusNonformat"/>
        <w:jc w:val="both"/>
      </w:pPr>
      <w:r>
        <w:t>Начальное общее образование                                    │          │</w:t>
      </w:r>
    </w:p>
    <w:p w:rsidR="00B355FE" w:rsidRDefault="00B355FE">
      <w:pPr>
        <w:pStyle w:val="ConsPlusNonformat"/>
        <w:jc w:val="both"/>
      </w:pPr>
      <w:r>
        <w:t>Основное общее образование                                     │  01.001  │</w:t>
      </w:r>
    </w:p>
    <w:p w:rsidR="00B355FE" w:rsidRDefault="00B355FE">
      <w:pPr>
        <w:pStyle w:val="ConsPlusNonformat"/>
        <w:jc w:val="both"/>
      </w:pPr>
      <w:r>
        <w:t>Среднее общее образование                                      │          │</w:t>
      </w:r>
    </w:p>
    <w:p w:rsidR="00B355FE" w:rsidRDefault="00B355F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B355FE" w:rsidRDefault="00B355FE">
      <w:pPr>
        <w:pStyle w:val="ConsPlusNonformat"/>
        <w:jc w:val="both"/>
      </w:pPr>
      <w:r>
        <w:t xml:space="preserve">      (наименование вида профессиональной деятельности)             Код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Основная цель вида профессиональной деятельности: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355FE" w:rsidRDefault="00B355FE">
      <w:pPr>
        <w:pStyle w:val="ConsPlusNonformat"/>
        <w:jc w:val="both"/>
      </w:pPr>
      <w:r>
        <w:t>│Оказание образовательных услуг по основным общеобразовательным программам│</w:t>
      </w:r>
    </w:p>
    <w:p w:rsidR="00B355FE" w:rsidRDefault="00B355FE">
      <w:pPr>
        <w:pStyle w:val="ConsPlusNonformat"/>
        <w:jc w:val="both"/>
      </w:pPr>
      <w:r>
        <w:t>│образовательными организациями (организациями, осуществляющими обучение) │</w:t>
      </w:r>
    </w:p>
    <w:p w:rsidR="00B355FE" w:rsidRDefault="00B355F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355FE" w:rsidRDefault="00B355FE">
      <w:pPr>
        <w:pStyle w:val="ConsPlusNonformat"/>
        <w:jc w:val="both"/>
        <w:sectPr w:rsidR="00B355FE" w:rsidSect="00BE2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Группа занятий: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B355FE" w:rsidRPr="007125D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Персонал дошкольного воспитания и образования</w:t>
            </w:r>
          </w:p>
        </w:tc>
      </w:tr>
      <w:tr w:rsidR="00B355FE" w:rsidRPr="007125D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Преподавательский персонал специального обучения</w:t>
            </w:r>
          </w:p>
        </w:tc>
      </w:tr>
      <w:tr w:rsidR="00B355FE" w:rsidRPr="007125D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355FE" w:rsidRPr="007125D8">
        <w:tc>
          <w:tcPr>
            <w:tcW w:w="16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 xml:space="preserve">(код </w:t>
            </w:r>
            <w:hyperlink r:id="rId11" w:history="1">
              <w:r w:rsidRPr="007125D8">
                <w:rPr>
                  <w:color w:val="0000FF"/>
                </w:rPr>
                <w:t>ОКЗ</w:t>
              </w:r>
            </w:hyperlink>
            <w:r w:rsidRPr="007125D8">
              <w:t xml:space="preserve"> </w:t>
            </w:r>
            <w:hyperlink w:anchor="Par710" w:history="1">
              <w:r w:rsidRPr="007125D8">
                <w:rPr>
                  <w:color w:val="0000FF"/>
                </w:rPr>
                <w:t>&lt;1&gt;</w:t>
              </w:r>
            </w:hyperlink>
            <w:r w:rsidRPr="007125D8"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 xml:space="preserve">(код </w:t>
            </w:r>
            <w:hyperlink r:id="rId12" w:history="1">
              <w:r w:rsidRPr="007125D8">
                <w:rPr>
                  <w:color w:val="0000FF"/>
                </w:rPr>
                <w:t>ОКЗ</w:t>
              </w:r>
            </w:hyperlink>
            <w:r w:rsidRPr="007125D8">
              <w:t>)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(наименование)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Отнесение к видам экономической деятельности: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20"/>
        <w:gridCol w:w="7985"/>
      </w:tblGrid>
      <w:tr w:rsidR="00B355FE" w:rsidRPr="007125D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Услуги в области дошкольного и начального общего образования</w:t>
            </w:r>
          </w:p>
        </w:tc>
      </w:tr>
      <w:tr w:rsidR="00B355FE" w:rsidRPr="007125D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Услуги в области основного общего и среднего (полного) общего образования</w:t>
            </w:r>
          </w:p>
        </w:tc>
      </w:tr>
      <w:tr w:rsidR="00B355FE" w:rsidRPr="007125D8">
        <w:tc>
          <w:tcPr>
            <w:tcW w:w="16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 xml:space="preserve">(код </w:t>
            </w:r>
            <w:hyperlink r:id="rId13" w:history="1">
              <w:r w:rsidRPr="007125D8">
                <w:rPr>
                  <w:color w:val="0000FF"/>
                </w:rPr>
                <w:t>КВЭД</w:t>
              </w:r>
            </w:hyperlink>
            <w:r w:rsidRPr="007125D8">
              <w:t xml:space="preserve"> </w:t>
            </w:r>
            <w:hyperlink w:anchor="Par711" w:history="1">
              <w:r w:rsidRPr="007125D8">
                <w:rPr>
                  <w:color w:val="0000FF"/>
                </w:rPr>
                <w:t>&lt;2&gt;</w:t>
              </w:r>
            </w:hyperlink>
            <w:r w:rsidRPr="007125D8"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(наименование вида экономической деятельности)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104"/>
      <w:bookmarkEnd w:id="5"/>
      <w:r>
        <w:t>II. Описание трудовых функций, входящих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в профессиональный стандарт (функциональная карта вида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профессиональной деятельности)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8"/>
        <w:gridCol w:w="2804"/>
        <w:gridCol w:w="1988"/>
        <w:gridCol w:w="2743"/>
        <w:gridCol w:w="1142"/>
        <w:gridCol w:w="2005"/>
      </w:tblGrid>
      <w:tr w:rsidR="00B355FE" w:rsidRPr="007125D8"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Обобщенные трудовые функции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Трудовые функции</w:t>
            </w:r>
          </w:p>
        </w:tc>
      </w:tr>
      <w:tr w:rsidR="00B355FE" w:rsidRPr="007125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уровень квалификации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уровень (подуровень) квалификации</w:t>
            </w:r>
          </w:p>
        </w:tc>
      </w:tr>
      <w:tr w:rsidR="00B355FE" w:rsidRPr="007125D8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  <w:tr w:rsidR="00B355FE" w:rsidRPr="007125D8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  <w:tr w:rsidR="00B355FE" w:rsidRPr="007125D8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  <w:tr w:rsidR="00B355FE" w:rsidRPr="007125D8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5 - 6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5</w:t>
            </w:r>
          </w:p>
        </w:tc>
      </w:tr>
      <w:tr w:rsidR="00B355FE" w:rsidRPr="007125D8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  <w:tr w:rsidR="00B355FE" w:rsidRPr="007125D8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  <w:tr w:rsidR="00B355FE" w:rsidRPr="007125D8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  <w:tr w:rsidR="00B355FE" w:rsidRPr="007125D8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147"/>
      <w:bookmarkEnd w:id="6"/>
      <w:r>
        <w:t>III. Характеристика обобщенных трудовых функций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</w:pPr>
      <w:bookmarkStart w:id="7" w:name="Par149"/>
      <w:bookmarkEnd w:id="7"/>
      <w:r>
        <w:t>3.1. Обобщенная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B355FE" w:rsidRPr="007125D8">
        <w:tc>
          <w:tcPr>
            <w:tcW w:w="1728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Происхождение обобщенной трудовой функции</w:t>
            </w:r>
          </w:p>
        </w:tc>
        <w:tc>
          <w:tcPr>
            <w:tcW w:w="14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82"/>
        <w:gridCol w:w="7157"/>
      </w:tblGrid>
      <w:tr w:rsidR="00B355FE" w:rsidRPr="007125D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Учитель,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Воспитатель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1"/>
        <w:gridCol w:w="7174"/>
      </w:tblGrid>
      <w:tr w:rsidR="00B355FE" w:rsidRPr="007125D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B355FE" w:rsidRPr="007125D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Требования к опыту практической работы не предъявляются</w:t>
            </w:r>
          </w:p>
        </w:tc>
      </w:tr>
      <w:tr w:rsidR="00B355FE" w:rsidRPr="007125D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К педагогической деятельности не допускаются лица: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признанные недееспособными в установленном федеральным законом порядке;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имеющие заболевания, предусмотренные установленным перечнем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8" w:name="Par183"/>
      <w:bookmarkEnd w:id="8"/>
      <w:r>
        <w:t>Дополнительные характеристики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63"/>
        <w:gridCol w:w="1330"/>
        <w:gridCol w:w="5242"/>
      </w:tblGrid>
      <w:tr w:rsidR="00B355FE" w:rsidRPr="007125D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Наименование базовой группы, должности (профессии) или специальности</w:t>
            </w:r>
          </w:p>
        </w:tc>
      </w:tr>
      <w:tr w:rsidR="00B355FE" w:rsidRPr="007125D8"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4" w:history="1">
              <w:r w:rsidRPr="007125D8">
                <w:rPr>
                  <w:color w:val="0000FF"/>
                </w:rPr>
                <w:t>ОКЗ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Преподаватели в средней школе</w:t>
            </w:r>
          </w:p>
        </w:tc>
      </w:tr>
      <w:tr w:rsidR="00B355FE" w:rsidRPr="007125D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Преподаватели в системе специального образования</w:t>
            </w:r>
          </w:p>
        </w:tc>
      </w:tr>
      <w:tr w:rsidR="00B355FE" w:rsidRPr="007125D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Преподавательский персонал начального образования</w:t>
            </w:r>
          </w:p>
        </w:tc>
      </w:tr>
      <w:tr w:rsidR="00B355FE" w:rsidRPr="007125D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Персонал дошкольного воспитания и образования</w:t>
            </w:r>
          </w:p>
        </w:tc>
      </w:tr>
      <w:tr w:rsidR="00B355FE" w:rsidRPr="007125D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Преподавательский персонал специального обучения</w:t>
            </w:r>
          </w:p>
        </w:tc>
      </w:tr>
      <w:tr w:rsidR="00B355FE" w:rsidRPr="007125D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Pr="007125D8">
                <w:rPr>
                  <w:color w:val="0000FF"/>
                </w:rPr>
                <w:t>ЕКС</w:t>
              </w:r>
            </w:hyperlink>
            <w:r w:rsidRPr="007125D8">
              <w:t xml:space="preserve"> </w:t>
            </w:r>
            <w:hyperlink w:anchor="Par712" w:history="1">
              <w:r w:rsidRPr="007125D8"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Учитель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Воспитатель</w:t>
            </w:r>
          </w:p>
        </w:tc>
      </w:tr>
      <w:tr w:rsidR="00B355FE" w:rsidRPr="007125D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6" w:history="1">
              <w:r w:rsidRPr="007125D8">
                <w:rPr>
                  <w:color w:val="0000FF"/>
                </w:rPr>
                <w:t>ОКСО</w:t>
              </w:r>
            </w:hyperlink>
            <w:r w:rsidRPr="007125D8">
              <w:t xml:space="preserve"> </w:t>
            </w:r>
            <w:hyperlink w:anchor="Par713" w:history="1">
              <w:r w:rsidRPr="007125D8"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Образование и педагогика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9" w:name="Par207"/>
      <w:bookmarkEnd w:id="9"/>
      <w:r>
        <w:t>3.1.1.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B355FE" w:rsidRPr="007125D8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Происхождение трудовой функции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48"/>
        <w:gridCol w:w="7673"/>
      </w:tblGrid>
      <w:tr w:rsidR="00B355FE" w:rsidRPr="007125D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Планирование и проведение учебных занятий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Систематический анализ эффективности учебных занятий и подходов к обучению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универсальных учебных действий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мотивации к обучению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B355FE" w:rsidRPr="007125D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ИКТ-компетентностями: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7125D8">
              <w:t>общепользовательская ИКТ-компетентность;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7125D8">
              <w:t>общепедагогическая ИКТ-компетентность;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7125D8"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B355FE" w:rsidRPr="007125D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Пути достижения образовательных результатов и способы оценки результатов обучения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Рабочая программа и методика обучения по данному предмету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Нормативные документы по вопросам обучения и воспитания детей и молодежи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Конвенция о правах ребенка</w:t>
            </w:r>
          </w:p>
        </w:tc>
      </w:tr>
      <w:tr w:rsidR="00B355FE" w:rsidRPr="007125D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Трудовое законодательство</w:t>
            </w:r>
          </w:p>
        </w:tc>
      </w:tr>
      <w:tr w:rsidR="00B355FE" w:rsidRPr="007125D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0" w:name="Par262"/>
      <w:bookmarkEnd w:id="10"/>
      <w:r>
        <w:t>3.1.2.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B355FE" w:rsidRPr="007125D8">
        <w:tc>
          <w:tcPr>
            <w:tcW w:w="171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Происхождение трудовой функции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0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62"/>
        <w:gridCol w:w="7259"/>
      </w:tblGrid>
      <w:tr w:rsidR="00B355FE" w:rsidRPr="007125D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Регулирование поведения обучающихся для обеспечения безопасной образовательной среды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Проектирование и реализация воспитательных программ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Помощь и поддержка в организации деятельности ученических органов самоуправления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Создание, поддержание уклада, атмосферы и традиций жизни образовательной организации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толерантности и навыков поведения в изменяющейся поликультурной среде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B355FE" w:rsidRPr="007125D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Общаться с детьми, признавать их достоинство, понимая и принимая их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методами организации экскурсий, походов и экспедиций и т.п.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B355FE" w:rsidRPr="007125D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Научное представление о результатах образования, путях их достижения и способах оценки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B355FE" w:rsidRPr="007125D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B355FE" w:rsidRPr="007125D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1" w:name="Par315"/>
      <w:bookmarkEnd w:id="11"/>
      <w:r>
        <w:t>3.1.3.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B355FE" w:rsidRPr="007125D8">
        <w:tc>
          <w:tcPr>
            <w:tcW w:w="171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Происхождение трудовой функции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63"/>
        <w:gridCol w:w="7272"/>
      </w:tblGrid>
      <w:tr w:rsidR="00B355FE" w:rsidRPr="007125D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Оказание адресной помощи обучающимся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системы регуляции поведения и деятельности обучающихся</w:t>
            </w:r>
          </w:p>
        </w:tc>
      </w:tr>
      <w:tr w:rsidR="00B355FE" w:rsidRPr="007125D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Понимать документацию специалистов (психологов, дефектологов, логопедов и т.д.)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Формировать детско-взрослые сообщества</w:t>
            </w:r>
          </w:p>
        </w:tc>
      </w:tr>
      <w:tr w:rsidR="00B355FE" w:rsidRPr="007125D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Педагогические закономерности организации образовательного процесса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Теория и технологии учета возрастных особенностей обучающихся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психодиагностики и основные признаки отклонения в развитии детей</w:t>
            </w:r>
          </w:p>
        </w:tc>
      </w:tr>
      <w:tr w:rsidR="00B355FE" w:rsidRPr="007125D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B355FE" w:rsidRPr="007125D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</w:pPr>
      <w:bookmarkStart w:id="12" w:name="Par367"/>
      <w:bookmarkEnd w:id="12"/>
      <w:r>
        <w:t>3.2. Обобщенная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B355FE" w:rsidRPr="007125D8">
        <w:tc>
          <w:tcPr>
            <w:tcW w:w="1728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5 - 6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B355FE" w:rsidRPr="007125D8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20"/>
        <w:gridCol w:w="7201"/>
      </w:tblGrid>
      <w:tr w:rsidR="00B355FE" w:rsidRPr="007125D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Учитель,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Воспитатель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20"/>
        <w:gridCol w:w="7201"/>
      </w:tblGrid>
      <w:tr w:rsidR="00B355FE" w:rsidRPr="007125D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B355FE" w:rsidRPr="007125D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Требования к опыту практической работы не предъявляются</w:t>
            </w:r>
          </w:p>
        </w:tc>
      </w:tr>
      <w:tr w:rsidR="00B355FE" w:rsidRPr="007125D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К педагогической деятельности не допускаются лица: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признанные недееспособными в установленном федеральным законом порядке;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имеющие заболевания, предусмотренные установленным перечнем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3" w:name="Par401"/>
      <w:bookmarkEnd w:id="13"/>
      <w:r>
        <w:t>Дополнительные характеристики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20"/>
        <w:gridCol w:w="1089"/>
        <w:gridCol w:w="6112"/>
      </w:tblGrid>
      <w:tr w:rsidR="00B355FE" w:rsidRPr="007125D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Наименование базовой группы, должности (профессии) или специальности</w:t>
            </w:r>
          </w:p>
        </w:tc>
      </w:tr>
      <w:tr w:rsidR="00B355FE" w:rsidRPr="007125D8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7" w:history="1">
              <w:r w:rsidRPr="007125D8">
                <w:rPr>
                  <w:color w:val="0000FF"/>
                </w:rPr>
                <w:t>ОКЗ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Преподаватели в средней школе</w:t>
            </w:r>
          </w:p>
        </w:tc>
      </w:tr>
      <w:tr w:rsidR="00B355FE" w:rsidRPr="007125D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Преподаватели в системе специального образования</w:t>
            </w:r>
          </w:p>
        </w:tc>
      </w:tr>
      <w:tr w:rsidR="00B355FE" w:rsidRPr="007125D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Преподавательский персонал начального образования</w:t>
            </w:r>
          </w:p>
        </w:tc>
      </w:tr>
      <w:tr w:rsidR="00B355FE" w:rsidRPr="007125D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Персонал дошкольного воспитания и образования</w:t>
            </w:r>
          </w:p>
        </w:tc>
      </w:tr>
      <w:tr w:rsidR="00B355FE" w:rsidRPr="007125D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Преподавательский персонал специального обучения</w:t>
            </w:r>
          </w:p>
        </w:tc>
      </w:tr>
      <w:tr w:rsidR="00B355FE" w:rsidRPr="007125D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18" w:history="1">
              <w:r w:rsidRPr="007125D8">
                <w:rPr>
                  <w:color w:val="0000FF"/>
                </w:rPr>
                <w:t>ЕКС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Учитель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Воспитатель</w:t>
            </w:r>
          </w:p>
        </w:tc>
      </w:tr>
      <w:tr w:rsidR="00B355FE" w:rsidRPr="007125D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19" w:history="1">
              <w:r w:rsidRPr="007125D8">
                <w:rPr>
                  <w:color w:val="0000FF"/>
                </w:rPr>
                <w:t>ОКСО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Образование и педагогика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4" w:name="Par425"/>
      <w:bookmarkEnd w:id="14"/>
      <w:r>
        <w:t>3.2.1.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B355FE" w:rsidRPr="007125D8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5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Происхождение трудовой функции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50"/>
        <w:gridCol w:w="7285"/>
      </w:tblGrid>
      <w:tr w:rsidR="00B355FE" w:rsidRPr="007125D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20" w:history="1">
              <w:r w:rsidRPr="007125D8">
                <w:rPr>
                  <w:color w:val="0000FF"/>
                </w:rPr>
                <w:t>стандартом</w:t>
              </w:r>
            </w:hyperlink>
            <w:r w:rsidRPr="007125D8">
              <w:t xml:space="preserve"> дошкольного образования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психологической готовности к школьному обучению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B355FE" w:rsidRPr="007125D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B355FE" w:rsidRPr="007125D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Общие закономерности развития ребенка в раннем и дошкольном возрасте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B355FE" w:rsidRPr="007125D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Современные тенденции развития дошкольного образования</w:t>
            </w:r>
          </w:p>
        </w:tc>
      </w:tr>
      <w:tr w:rsidR="00B355FE" w:rsidRPr="007125D8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5" w:name="Par475"/>
      <w:bookmarkEnd w:id="15"/>
      <w:r>
        <w:t>3.2.2.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6"/>
        <w:gridCol w:w="3416"/>
        <w:gridCol w:w="699"/>
        <w:gridCol w:w="1078"/>
        <w:gridCol w:w="2030"/>
        <w:gridCol w:w="686"/>
      </w:tblGrid>
      <w:tr w:rsidR="00B355FE" w:rsidRPr="007125D8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Происхождение трудовой функции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0"/>
        <w:gridCol w:w="7241"/>
      </w:tblGrid>
      <w:tr w:rsidR="00B355FE" w:rsidRPr="007125D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355FE" w:rsidRPr="007125D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355FE" w:rsidRPr="007125D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355FE" w:rsidRPr="007125D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B355FE" w:rsidRPr="007125D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6" w:name="Par515"/>
      <w:bookmarkEnd w:id="16"/>
      <w:r>
        <w:t>3.2.3.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12"/>
        <w:gridCol w:w="3430"/>
        <w:gridCol w:w="713"/>
        <w:gridCol w:w="1064"/>
        <w:gridCol w:w="2030"/>
        <w:gridCol w:w="672"/>
      </w:tblGrid>
      <w:tr w:rsidR="00B355FE" w:rsidRPr="007125D8">
        <w:tc>
          <w:tcPr>
            <w:tcW w:w="171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Происхождение трудовой функции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75"/>
        <w:gridCol w:w="7246"/>
      </w:tblGrid>
      <w:tr w:rsidR="00B355FE" w:rsidRPr="007125D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B355FE" w:rsidRPr="007125D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Организовать самостоятельную деятельность обучающихся, в том числе исследовательскую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Осуществлять контрольно-оценочную деятельность в образовательном процессе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методами убеждения, аргументации своей позиции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B355FE" w:rsidRPr="007125D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Программы и учебники по преподаваемому предмету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Методы и технологии поликультурного, дифференцированного и развивающего обучения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экологии, экономики, социологии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Правила внутреннего распорядка</w:t>
            </w:r>
          </w:p>
        </w:tc>
      </w:tr>
      <w:tr w:rsidR="00B355FE" w:rsidRPr="007125D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Правила по охране труда и требования к безопасности образовательной среды</w:t>
            </w:r>
          </w:p>
        </w:tc>
      </w:tr>
      <w:tr w:rsidR="00B355FE" w:rsidRPr="007125D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7" w:name="Par568"/>
      <w:bookmarkEnd w:id="17"/>
      <w:r>
        <w:t>3.2.4.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700"/>
      </w:tblGrid>
      <w:tr w:rsidR="00B355FE" w:rsidRPr="007125D8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Происхождение трудовой функции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55"/>
        <w:gridCol w:w="7280"/>
      </w:tblGrid>
      <w:tr w:rsidR="00B355FE" w:rsidRPr="007125D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конкретных знаний, умений и навыков в области математики и информатики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Развитие инициативы обучающихся по использованию математики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Выявление совместно с обучающимися недостоверных и малоправдоподобных данных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B355FE" w:rsidRPr="007125D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основными математическими компьютерными инструментами: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визуализации данных, зависимостей, отношений, процессов, геометрических объектов;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вычислений - численных и символьных;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обработки данных (статистики);</w:t>
            </w:r>
          </w:p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экспериментальных лабораторий (вероятность, информатика)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Квалифицированно набирать математический текст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B355FE" w:rsidRPr="007125D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Теория и методика преподавания математики</w:t>
            </w:r>
          </w:p>
        </w:tc>
      </w:tr>
      <w:tr w:rsidR="00B355FE" w:rsidRPr="007125D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B355FE" w:rsidRPr="007125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8" w:name="Par640"/>
      <w:bookmarkEnd w:id="18"/>
      <w:r>
        <w:t>3.2.5. Трудовая функция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5"/>
        <w:gridCol w:w="3454"/>
        <w:gridCol w:w="704"/>
        <w:gridCol w:w="1086"/>
        <w:gridCol w:w="2044"/>
        <w:gridCol w:w="626"/>
      </w:tblGrid>
      <w:tr w:rsidR="00B355FE" w:rsidRPr="007125D8">
        <w:tc>
          <w:tcPr>
            <w:tcW w:w="1725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7125D8"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6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B355FE" w:rsidRPr="007125D8">
        <w:tc>
          <w:tcPr>
            <w:tcW w:w="2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Происхождение трудовой функции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Оригинал</w:t>
            </w:r>
          </w:p>
        </w:tc>
        <w:tc>
          <w:tcPr>
            <w:tcW w:w="6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X</w:t>
            </w:r>
          </w:p>
        </w:tc>
        <w:tc>
          <w:tcPr>
            <w:tcW w:w="1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Заимствовано из оригинала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355FE" w:rsidRPr="007125D8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 w:rsidP="0017273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Код оригинала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25D8">
              <w:t>Регистрационный номер профессионального стандарта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36"/>
        <w:gridCol w:w="7299"/>
      </w:tblGrid>
      <w:tr w:rsidR="00B355FE" w:rsidRPr="007125D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Поощрение индивидуального и коллективного литературного творчества обучающихся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B355FE" w:rsidRPr="007125D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Владеть методами и приемами обучения русскому языку, в том числе как не родному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Проявлять позитивное отношение к родным языкам обучающихся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B355FE" w:rsidRPr="007125D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25D8"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Теория и методика преподавания русского языка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Контекстная языковая норма</w:t>
            </w:r>
          </w:p>
        </w:tc>
      </w:tr>
      <w:tr w:rsidR="00B355FE" w:rsidRPr="007125D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Стандартное общерусское произношение и лексика, их отличия от местной языковой среды</w:t>
            </w:r>
          </w:p>
        </w:tc>
      </w:tr>
      <w:tr w:rsidR="00B355FE" w:rsidRPr="007125D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19" w:name="Par690"/>
      <w:bookmarkEnd w:id="19"/>
      <w:r>
        <w:t>IV. Сведения об организациях - разработчиках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профессионального стандарта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</w:pPr>
      <w:bookmarkStart w:id="20" w:name="Par693"/>
      <w:bookmarkEnd w:id="20"/>
      <w:r>
        <w:t>4.1. Ответственная организация-разработчик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355FE" w:rsidRDefault="00B355FE">
      <w:pPr>
        <w:pStyle w:val="ConsPlusNonformat"/>
        <w:jc w:val="both"/>
      </w:pPr>
      <w:r>
        <w:t>│       Государственное бюджетное образовательное учреждение высшего      │</w:t>
      </w:r>
    </w:p>
    <w:p w:rsidR="00B355FE" w:rsidRDefault="00B355FE">
      <w:pPr>
        <w:pStyle w:val="ConsPlusNonformat"/>
        <w:jc w:val="both"/>
      </w:pPr>
      <w:r>
        <w:t>│    профессионального образования города Москвы "Московский городской    │</w:t>
      </w:r>
    </w:p>
    <w:p w:rsidR="00B355FE" w:rsidRDefault="00B355FE">
      <w:pPr>
        <w:pStyle w:val="ConsPlusNonformat"/>
        <w:jc w:val="both"/>
      </w:pPr>
      <w:r>
        <w:t>│                  психолого-педагогический университет"                  │</w:t>
      </w:r>
    </w:p>
    <w:p w:rsidR="00B355FE" w:rsidRDefault="00B355FE">
      <w:pPr>
        <w:pStyle w:val="ConsPlusNonformat"/>
        <w:jc w:val="both"/>
      </w:pPr>
      <w:r>
        <w:t>│                                                                         │</w:t>
      </w:r>
    </w:p>
    <w:p w:rsidR="00B355FE" w:rsidRDefault="00B355FE">
      <w:pPr>
        <w:pStyle w:val="ConsPlusNonformat"/>
        <w:jc w:val="both"/>
      </w:pPr>
      <w:r>
        <w:t>│    Ректор Рубцов Виталий Владимирович                                   │</w:t>
      </w:r>
    </w:p>
    <w:p w:rsidR="00B355FE" w:rsidRDefault="00B355FE">
      <w:pPr>
        <w:pStyle w:val="ConsPlusNonformat"/>
        <w:jc w:val="both"/>
      </w:pPr>
      <w:r>
        <w:t>│                                                                         │</w:t>
      </w:r>
    </w:p>
    <w:p w:rsidR="00B355FE" w:rsidRDefault="00B355F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</w:pPr>
      <w:bookmarkStart w:id="21" w:name="Par704"/>
      <w:bookmarkEnd w:id="21"/>
      <w:r>
        <w:t>4.2. Наименования организаций-разработчиков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3"/>
        <w:gridCol w:w="9128"/>
      </w:tblGrid>
      <w:tr w:rsidR="00B355FE" w:rsidRPr="007125D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5FE" w:rsidRPr="007125D8" w:rsidRDefault="00B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25D8"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2" w:name="Par710"/>
      <w:bookmarkEnd w:id="22"/>
      <w:r>
        <w:t xml:space="preserve">&lt;1&gt; Общероссийский </w:t>
      </w:r>
      <w:hyperlink r:id="rId2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3" w:name="Par711"/>
      <w:bookmarkEnd w:id="23"/>
      <w:r>
        <w:t xml:space="preserve">&lt;2&gt;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355FE" w:rsidRDefault="00B3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4" w:name="Par712"/>
      <w:bookmarkEnd w:id="24"/>
      <w:r>
        <w:t xml:space="preserve">&lt;3&gt;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B355FE" w:rsidRPr="00172734" w:rsidRDefault="00B355FE" w:rsidP="0017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5" w:name="Par713"/>
      <w:bookmarkEnd w:id="25"/>
      <w:r>
        <w:t xml:space="preserve">&lt;4&gt;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sectPr w:rsidR="00B355FE" w:rsidRPr="00172734" w:rsidSect="008E298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734"/>
    <w:rsid w:val="00172734"/>
    <w:rsid w:val="00240A78"/>
    <w:rsid w:val="007125D8"/>
    <w:rsid w:val="008E298E"/>
    <w:rsid w:val="00B04E0A"/>
    <w:rsid w:val="00B1754F"/>
    <w:rsid w:val="00B355FE"/>
    <w:rsid w:val="00BE2B46"/>
    <w:rsid w:val="00CB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8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27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0A5C4B49BA06B0665E66DADC8B4A89F26F3035D7699E7AEABE55FD383E1BF8E5E4DSBE2H" TargetMode="External"/><Relationship Id="rId13" Type="http://schemas.openxmlformats.org/officeDocument/2006/relationships/hyperlink" Target="consultantplus://offline/ref=DBD0A5C4B49BA06B0665E66DADC8B4A89F22F2005A7199E7AEABE55FD383E1BF8E5E4DBAED1F6F06S2E1H" TargetMode="External"/><Relationship Id="rId18" Type="http://schemas.openxmlformats.org/officeDocument/2006/relationships/hyperlink" Target="consultantplus://offline/ref=DBD0A5C4B49BA06B0665E66DADC8B4A89F21FC015F7F99E7AEABE55FD383E1BF8E5E4DBAED1F6F07S2EB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48AF145C293890CBEA65CA6F7469666BA9DFBF4432EAF123C4D8A5DFT2E3H" TargetMode="External"/><Relationship Id="rId7" Type="http://schemas.openxmlformats.org/officeDocument/2006/relationships/hyperlink" Target="consultantplus://offline/ref=DBD0A5C4B49BA06B0665E66DADC8B4A89F26F3035D7699E7AEABE55FD383E1BF8E5E4DSBE2H" TargetMode="External"/><Relationship Id="rId12" Type="http://schemas.openxmlformats.org/officeDocument/2006/relationships/hyperlink" Target="consultantplus://offline/ref=DBD0A5C4B49BA06B0665E66DADC8B4A89F21FF045E7099E7AEABE55FD3S8E3H" TargetMode="External"/><Relationship Id="rId17" Type="http://schemas.openxmlformats.org/officeDocument/2006/relationships/hyperlink" Target="consultantplus://offline/ref=DBD0A5C4B49BA06B0665E66DADC8B4A89F21FF045E7099E7AEABE55FD3S8E3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D0A5C4B49BA06B0665E66DADC8B4A89F21FF0B5C7799E7AEABE55FD3S8E3H" TargetMode="External"/><Relationship Id="rId20" Type="http://schemas.openxmlformats.org/officeDocument/2006/relationships/hyperlink" Target="consultantplus://offline/ref=DBD0A5C4B49BA06B0665E66DADC8B4A89F25FE055B7099E7AEABE55FD383E1BF8E5E4DBAED1F6F06S2E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0A5C4B49BA06B0665E66DADC8B4A89F26F3035C7199E7AEABE55FD383E1BF8E5E4DBAED1F6F07S2E7H" TargetMode="External"/><Relationship Id="rId11" Type="http://schemas.openxmlformats.org/officeDocument/2006/relationships/hyperlink" Target="consultantplus://offline/ref=DBD0A5C4B49BA06B0665E66DADC8B4A89F21FF045E7099E7AEABE55FD3S8E3H" TargetMode="External"/><Relationship Id="rId24" Type="http://schemas.openxmlformats.org/officeDocument/2006/relationships/hyperlink" Target="consultantplus://offline/ref=9248AF145C293890CBEA65CA6F7469666BA9DFB04635EAF123C4D8A5DFT2E3H" TargetMode="External"/><Relationship Id="rId5" Type="http://schemas.openxmlformats.org/officeDocument/2006/relationships/hyperlink" Target="consultantplus://offline/ref=DBD0A5C4B49BA06B0665E66DADC8B4A89F27FF065F7599E7AEABE55FD383E1BF8E5E4DBAED1F6F07S2E4H" TargetMode="External"/><Relationship Id="rId15" Type="http://schemas.openxmlformats.org/officeDocument/2006/relationships/hyperlink" Target="consultantplus://offline/ref=DBD0A5C4B49BA06B0665E66DADC8B4A89F21FC015F7F99E7AEABE55FD383E1BF8E5E4DBAED1F6F07S2EBH" TargetMode="External"/><Relationship Id="rId23" Type="http://schemas.openxmlformats.org/officeDocument/2006/relationships/hyperlink" Target="consultantplus://offline/ref=9248AF145C293890CBEA65CA6F7469666BA9DCBA453DEAF123C4D8A5DFT2E3H" TargetMode="External"/><Relationship Id="rId10" Type="http://schemas.openxmlformats.org/officeDocument/2006/relationships/hyperlink" Target="consultantplus://offline/ref=DBD0A5C4B49BA06B0665E66DADC8B4A89F27FF065F7599E7AEABE55FD383E1BF8E5E4DBAED1F6F07S2E4H" TargetMode="External"/><Relationship Id="rId19" Type="http://schemas.openxmlformats.org/officeDocument/2006/relationships/hyperlink" Target="consultantplus://offline/ref=DBD0A5C4B49BA06B0665E66DADC8B4A89F21FF0B5C7799E7AEABE55FD3S8E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D0A5C4B49BA06B0665E66DADC8B4A89F27FF065F7599E7AEABE55FD383E1BF8E5E4DBAED1F6F07S2E4H" TargetMode="External"/><Relationship Id="rId14" Type="http://schemas.openxmlformats.org/officeDocument/2006/relationships/hyperlink" Target="consultantplus://offline/ref=DBD0A5C4B49BA06B0665E66DADC8B4A89F21FF045E7099E7AEABE55FD3S8E3H" TargetMode="External"/><Relationship Id="rId22" Type="http://schemas.openxmlformats.org/officeDocument/2006/relationships/hyperlink" Target="consultantplus://offline/ref=9248AF145C293890CBEA65CA6F7469666BAAD2BB4033EAF123C4D8A5DF23BC1EE5583518C3653F1FT7E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37</Pages>
  <Words>7493</Words>
  <Characters>-32766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Сметанина Ольга Александровна</dc:creator>
  <cp:keywords/>
  <dc:description/>
  <cp:lastModifiedBy>*</cp:lastModifiedBy>
  <cp:revision>2</cp:revision>
  <dcterms:created xsi:type="dcterms:W3CDTF">2017-01-26T11:49:00Z</dcterms:created>
  <dcterms:modified xsi:type="dcterms:W3CDTF">2017-01-26T11:50:00Z</dcterms:modified>
</cp:coreProperties>
</file>